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bookmarkStart w:id="0" w:name="_GoBack"/>
      <w:bookmarkEnd w:id="0"/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151F5F0E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eastAsia="x-none"/>
        </w:rPr>
      </w:pPr>
    </w:p>
    <w:p w14:paraId="6F8E588D" w14:textId="509265D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2E20B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ებ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მოწმების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7F31DB68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63869FE8" w:rsidR="00D47524" w:rsidRPr="00CC7B48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ამოქმედდეს </w:t>
      </w:r>
      <w:r w:rsidR="00CC7B48">
        <w:rPr>
          <w:rFonts w:ascii="Sylfaen" w:hAnsi="Sylfaen" w:cs="Sylfaen"/>
          <w:noProof/>
          <w:sz w:val="24"/>
          <w:szCs w:val="24"/>
          <w:lang w:val="ka-GE" w:eastAsia="x-none"/>
        </w:rPr>
        <w:t>პირველი ოქტომბრიდან.</w:t>
      </w:r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44CE03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lastRenderedPageBreak/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E9BB83" w14:textId="1515A92A" w:rsidR="00574277" w:rsidRPr="00897966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ცენტრი).</w:t>
      </w:r>
    </w:p>
    <w:p w14:paraId="74D69087" w14:textId="77777777" w:rsidR="00574277" w:rsidRPr="00897966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</w:p>
    <w:p w14:paraId="75D42457" w14:textId="59D08B5F" w:rsidR="00CF111B" w:rsidRP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  <w:lang w:val="ka-GE"/>
        </w:rPr>
        <w:t xml:space="preserve">3. სააგენტოს მიერ </w:t>
      </w:r>
      <w:r w:rsidRPr="00897966">
        <w:rPr>
          <w:rFonts w:ascii="Sylfaen" w:hAnsi="Sylfaen" w:cs="Sylfaen"/>
          <w:noProof/>
        </w:rPr>
        <w:t>ინფექციების კონტროლის სისტემის ფუნქციონირების</w:t>
      </w:r>
      <w:r w:rsidRPr="00B50A3D"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შემოწმება ხორციელდება </w:t>
      </w:r>
      <w:r w:rsidR="00CF111B" w:rsidRPr="00B50A3D">
        <w:rPr>
          <w:rFonts w:ascii="Sylfaen" w:hAnsi="Sylfaen" w:cs="Sylfaen"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CF111B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6ED9FE95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4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სააგენტო,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ხელს აწერენ </w:t>
      </w:r>
      <w:r w:rsidR="00574277"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 w:rsidR="00574277"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87027CA" w:rsidR="00B50A3D" w:rsidRPr="00574277" w:rsidRDefault="00530EEA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>. იმ შემთხვევაში, თუ დაწესებულების ხელმძღვანელი/უფლებამოსილი პირი/პირები უარს აცხადებენ ამ ბრძანების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605C0538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lastRenderedPageBreak/>
        <w:t>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>კი გადაეგზავნება სამინისტროს სახელმწიფო კონტროლს დაქვემდებარებულ საჯარო სამართლის იურიდიულ პირს – სოციალური მომსახურების სააგენტოს 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3E71716A" w14:textId="2C5AF90A" w:rsidR="000C7BF0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C82B02" w:rsidRPr="00897966">
        <w:rPr>
          <w:rFonts w:ascii="Sylfaen" w:hAnsi="Sylfaen" w:cs="Sylfaen"/>
          <w:noProof/>
          <w:lang w:val="ka-GE"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მიმწოდებლის სტატუსი.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724C8E11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ცალკეული თავის </w:t>
      </w:r>
      <w:r w:rsidR="00305F64" w:rsidRPr="002E20B5">
        <w:rPr>
          <w:rFonts w:ascii="Sylfaen" w:hAnsi="Sylfaen" w:cs="Sylfaen"/>
          <w:noProof/>
          <w:lang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>
        <w:rPr>
          <w:rFonts w:ascii="Sylfaen" w:hAnsi="Sylfaen" w:cs="Sylfaen"/>
          <w:noProof/>
          <w:lang w:val="ka-GE" w:eastAsia="x-none"/>
        </w:rPr>
        <w:t xml:space="preserve">და </w:t>
      </w:r>
      <w:r w:rsidR="001D4C70">
        <w:rPr>
          <w:rFonts w:ascii="Sylfaen" w:hAnsi="Sylfaen" w:cs="Sylfaen"/>
          <w:noProof/>
          <w:lang w:val="ru-RU" w:eastAsia="x-none"/>
        </w:rPr>
        <w:t>№</w:t>
      </w:r>
      <w:r w:rsidR="001D4C70">
        <w:rPr>
          <w:rFonts w:ascii="Sylfaen" w:hAnsi="Sylfaen" w:cs="Sylfaen"/>
          <w:noProof/>
          <w:lang w:val="ka-GE" w:eastAsia="x-none"/>
        </w:rPr>
        <w:t xml:space="preserve">2 კითხვარის </w:t>
      </w:r>
      <w:r w:rsidR="002D793B">
        <w:rPr>
          <w:rFonts w:ascii="Sylfaen" w:hAnsi="Sylfaen" w:cs="Sylfaen"/>
          <w:noProof/>
          <w:lang w:val="ka-GE" w:eastAsia="x-none"/>
        </w:rPr>
        <w:t xml:space="preserve">არანაკლებ 22 </w:t>
      </w:r>
      <w:r w:rsidR="001D4C70">
        <w:rPr>
          <w:rFonts w:ascii="Sylfaen" w:hAnsi="Sylfaen" w:cs="Sylfaen"/>
          <w:noProof/>
          <w:lang w:val="ka-GE"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>ს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(ანუ იმ კრიტერიუმების </w:t>
      </w:r>
      <w:r w:rsidR="002D793B">
        <w:rPr>
          <w:rFonts w:ascii="Sylfaen" w:hAnsi="Sylfaen" w:cs="Sylfaen"/>
          <w:noProof/>
          <w:lang w:val="ka-GE" w:eastAsia="x-none"/>
        </w:rPr>
        <w:t xml:space="preserve">რაოდენობა, </w:t>
      </w:r>
      <w:r w:rsidR="00067860" w:rsidRPr="002E20B5">
        <w:rPr>
          <w:rFonts w:ascii="Sylfaen" w:hAnsi="Sylfaen" w:cs="Sylfaen"/>
          <w:noProof/>
          <w:lang w:eastAsia="x-none"/>
        </w:rPr>
        <w:t xml:space="preserve">რომლებიც არ იქნა დაკმაყოფილებული, არ აღემატება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2D793B">
        <w:rPr>
          <w:rFonts w:ascii="Sylfaen" w:hAnsi="Sylfaen" w:cs="Sylfaen"/>
          <w:noProof/>
          <w:lang w:val="ka-GE" w:eastAsia="x-none"/>
        </w:rPr>
        <w:t>3-ს</w:t>
      </w:r>
      <w:r w:rsidR="00067860" w:rsidRPr="002E20B5">
        <w:rPr>
          <w:rFonts w:ascii="Sylfaen" w:hAnsi="Sylfaen" w:cs="Sylfaen"/>
          <w:noProof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ამ შემთხვევაში დაწესებულებას ეძლევა 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r w:rsidR="00BC37A8">
        <w:rPr>
          <w:rFonts w:ascii="Sylfaen" w:hAnsi="Sylfaen" w:cs="Sylfaen"/>
          <w:noProof/>
          <w:lang w:val="ka-GE" w:eastAsia="x-none"/>
        </w:rPr>
        <w:t>, ამასთან, იგი ვალდებულია მოთხოვნის შესრულების დამადასტურებელი დოკუმენტაცია მიაწოდოს სააგენტოს.</w:t>
      </w:r>
      <w:r>
        <w:rPr>
          <w:rFonts w:ascii="Sylfaen" w:hAnsi="Sylfaen" w:cs="Sylfaen"/>
          <w:noProof/>
          <w:lang w:val="ka-GE" w:eastAsia="x-none"/>
        </w:rPr>
        <w:t xml:space="preserve"> სააგენტო უფლებამოსილია კრიტერიუმის დაკმაყოფილების ფაქტი გადაამოწმოს ადგილზე.</w:t>
      </w:r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5BAC377C" w14:textId="26BB62A9" w:rsidR="00D47524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9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 w:rsidR="00697359">
        <w:rPr>
          <w:rFonts w:ascii="Sylfaen" w:hAnsi="Sylfaen" w:cs="Sylfaen"/>
          <w:noProof/>
          <w:lang w:val="ka-GE" w:eastAsia="x-none"/>
        </w:rPr>
        <w:t>მე-</w:t>
      </w:r>
      <w:r>
        <w:rPr>
          <w:rFonts w:ascii="Sylfaen" w:hAnsi="Sylfaen" w:cs="Sylfaen"/>
          <w:noProof/>
          <w:lang w:val="ka-GE" w:eastAsia="x-none"/>
        </w:rPr>
        <w:t>6</w:t>
      </w:r>
      <w:r w:rsidR="00697359">
        <w:rPr>
          <w:rFonts w:ascii="Sylfaen" w:hAnsi="Sylfaen" w:cs="Sylfaen"/>
          <w:noProof/>
          <w:lang w:val="ka-GE" w:eastAsia="x-none"/>
        </w:rPr>
        <w:t xml:space="preserve">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არაუადრეს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697359">
        <w:rPr>
          <w:rFonts w:ascii="Sylfaen" w:hAnsi="Sylfaen" w:cs="Sylfaen"/>
          <w:noProof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თვისა.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2C05FCAD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0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9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CF0DF6">
        <w:rPr>
          <w:rFonts w:ascii="Sylfaen" w:hAnsi="Sylfaen" w:cs="Sylfaen"/>
          <w:noProof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 w:rsidR="00530EEA">
        <w:rPr>
          <w:rFonts w:ascii="Sylfaen" w:hAnsi="Sylfaen" w:cs="Sylfaen"/>
          <w:noProof/>
          <w:lang w:val="ka-GE" w:eastAsia="x-none"/>
        </w:rPr>
        <w:t>6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4F9949B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37E640E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2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79BCE792" w:rsidR="009A4BFF" w:rsidRPr="00CF0DF6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CC7B48">
        <w:rPr>
          <w:rFonts w:ascii="Sylfaen" w:hAnsi="Sylfaen" w:cs="Sylfaen"/>
          <w:noProof/>
          <w:lang w:eastAsia="x-none"/>
        </w:rPr>
        <w:t>3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sectPr w:rsidR="009A4BFF" w:rsidRPr="00CF0DF6" w:rsidSect="00CF0DF6"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9CD3D7" w15:done="0"/>
  <w15:commentEx w15:paraId="33D42DA5" w15:done="0"/>
  <w15:commentEx w15:paraId="2BE600B8" w15:done="0"/>
  <w15:commentEx w15:paraId="50E8E7F3" w15:done="0"/>
  <w15:commentEx w15:paraId="7C9FE704" w15:done="0"/>
  <w15:commentEx w15:paraId="30A0849C" w15:done="0"/>
  <w15:commentEx w15:paraId="48148632" w15:done="0"/>
  <w15:commentEx w15:paraId="6E0CEA49" w15:done="0"/>
  <w15:commentEx w15:paraId="76FAC8D4" w15:done="0"/>
  <w15:commentEx w15:paraId="1FB8D368" w15:done="0"/>
  <w15:commentEx w15:paraId="65747220" w15:done="0"/>
  <w15:commentEx w15:paraId="2F2BFAB7" w15:done="0"/>
  <w15:commentEx w15:paraId="0C34FC39" w15:done="0"/>
  <w15:commentEx w15:paraId="14786012" w15:done="0"/>
  <w15:commentEx w15:paraId="70BD27BA" w15:done="0"/>
  <w15:commentEx w15:paraId="3DF47DD5" w15:done="0"/>
  <w15:commentEx w15:paraId="3FB7ED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81603" w14:textId="77777777" w:rsidR="00C06425" w:rsidRDefault="00C06425" w:rsidP="00067860">
      <w:pPr>
        <w:spacing w:after="0" w:line="240" w:lineRule="auto"/>
      </w:pPr>
      <w:r>
        <w:separator/>
      </w:r>
    </w:p>
  </w:endnote>
  <w:endnote w:type="continuationSeparator" w:id="0">
    <w:p w14:paraId="074B52B3" w14:textId="77777777" w:rsidR="00C06425" w:rsidRDefault="00C06425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DF7A3" w14:textId="77777777" w:rsidR="00C06425" w:rsidRDefault="00C06425" w:rsidP="00067860">
      <w:pPr>
        <w:spacing w:after="0" w:line="240" w:lineRule="auto"/>
      </w:pPr>
      <w:r>
        <w:separator/>
      </w:r>
    </w:p>
  </w:footnote>
  <w:footnote w:type="continuationSeparator" w:id="0">
    <w:p w14:paraId="47832C76" w14:textId="77777777" w:rsidR="00C06425" w:rsidRDefault="00C06425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1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27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0"/>
  </w:num>
  <w:num w:numId="4">
    <w:abstractNumId w:val="17"/>
  </w:num>
  <w:num w:numId="5">
    <w:abstractNumId w:val="10"/>
  </w:num>
  <w:num w:numId="6">
    <w:abstractNumId w:val="20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24"/>
  </w:num>
  <w:num w:numId="14">
    <w:abstractNumId w:val="18"/>
  </w:num>
  <w:num w:numId="15">
    <w:abstractNumId w:val="27"/>
  </w:num>
  <w:num w:numId="16">
    <w:abstractNumId w:val="15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6"/>
  </w:num>
  <w:num w:numId="22">
    <w:abstractNumId w:val="4"/>
  </w:num>
  <w:num w:numId="23">
    <w:abstractNumId w:val="1"/>
  </w:num>
  <w:num w:numId="24">
    <w:abstractNumId w:val="13"/>
  </w:num>
  <w:num w:numId="25">
    <w:abstractNumId w:val="7"/>
  </w:num>
  <w:num w:numId="26">
    <w:abstractNumId w:val="3"/>
  </w:num>
  <w:num w:numId="27">
    <w:abstractNumId w:val="12"/>
  </w:num>
  <w:num w:numId="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leishvili, Marika (CDC/DDPHSIS/CGH/DGHP)">
    <w15:presenceInfo w15:providerId="AD" w15:userId="S::IVU9@cdc.gov::38ee0650-329b-4753-b6c4-4a99490ca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112E17"/>
    <w:rsid w:val="0012610A"/>
    <w:rsid w:val="001515B1"/>
    <w:rsid w:val="00154AA9"/>
    <w:rsid w:val="0017564A"/>
    <w:rsid w:val="00177CD1"/>
    <w:rsid w:val="001808C5"/>
    <w:rsid w:val="00181A0E"/>
    <w:rsid w:val="001C3302"/>
    <w:rsid w:val="001D1265"/>
    <w:rsid w:val="001D4C70"/>
    <w:rsid w:val="001D7600"/>
    <w:rsid w:val="001E2453"/>
    <w:rsid w:val="001E646A"/>
    <w:rsid w:val="001F7112"/>
    <w:rsid w:val="0020347A"/>
    <w:rsid w:val="00217D38"/>
    <w:rsid w:val="00231F52"/>
    <w:rsid w:val="002575A4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6145E"/>
    <w:rsid w:val="00370655"/>
    <w:rsid w:val="00394E14"/>
    <w:rsid w:val="003A381C"/>
    <w:rsid w:val="003C2776"/>
    <w:rsid w:val="003C3E66"/>
    <w:rsid w:val="003D5810"/>
    <w:rsid w:val="003E528B"/>
    <w:rsid w:val="003F1DB1"/>
    <w:rsid w:val="00416414"/>
    <w:rsid w:val="00432D3B"/>
    <w:rsid w:val="00440841"/>
    <w:rsid w:val="00441CEA"/>
    <w:rsid w:val="00444C6B"/>
    <w:rsid w:val="00456DBA"/>
    <w:rsid w:val="00462CC9"/>
    <w:rsid w:val="00462F9E"/>
    <w:rsid w:val="00466A85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5AAA"/>
    <w:rsid w:val="00503EFD"/>
    <w:rsid w:val="00514DD8"/>
    <w:rsid w:val="0051685A"/>
    <w:rsid w:val="0052401C"/>
    <w:rsid w:val="00530EEA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4157A"/>
    <w:rsid w:val="00644526"/>
    <w:rsid w:val="006676EB"/>
    <w:rsid w:val="0069124A"/>
    <w:rsid w:val="00692BAA"/>
    <w:rsid w:val="00697359"/>
    <w:rsid w:val="006973D6"/>
    <w:rsid w:val="006C2A9B"/>
    <w:rsid w:val="006D23D2"/>
    <w:rsid w:val="006D6A37"/>
    <w:rsid w:val="006D7A92"/>
    <w:rsid w:val="006E5E5A"/>
    <w:rsid w:val="006E68D0"/>
    <w:rsid w:val="007150C2"/>
    <w:rsid w:val="00734CE5"/>
    <w:rsid w:val="007666B8"/>
    <w:rsid w:val="007702D7"/>
    <w:rsid w:val="007747DD"/>
    <w:rsid w:val="007753D8"/>
    <w:rsid w:val="00781525"/>
    <w:rsid w:val="00794DFF"/>
    <w:rsid w:val="007C25C4"/>
    <w:rsid w:val="007C5BA0"/>
    <w:rsid w:val="007C777C"/>
    <w:rsid w:val="007D104B"/>
    <w:rsid w:val="007D1C09"/>
    <w:rsid w:val="007E35C3"/>
    <w:rsid w:val="007F0D9B"/>
    <w:rsid w:val="007F1BA9"/>
    <w:rsid w:val="007F5068"/>
    <w:rsid w:val="00820687"/>
    <w:rsid w:val="00831691"/>
    <w:rsid w:val="008408EB"/>
    <w:rsid w:val="00866191"/>
    <w:rsid w:val="00897966"/>
    <w:rsid w:val="008B381E"/>
    <w:rsid w:val="008B45AC"/>
    <w:rsid w:val="008B5B75"/>
    <w:rsid w:val="008C0843"/>
    <w:rsid w:val="008E12B0"/>
    <w:rsid w:val="008F4AF6"/>
    <w:rsid w:val="008F717F"/>
    <w:rsid w:val="0090453D"/>
    <w:rsid w:val="00911878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6E21"/>
    <w:rsid w:val="00A00753"/>
    <w:rsid w:val="00A06555"/>
    <w:rsid w:val="00A106FA"/>
    <w:rsid w:val="00A12C71"/>
    <w:rsid w:val="00A271BE"/>
    <w:rsid w:val="00A30754"/>
    <w:rsid w:val="00A34D7B"/>
    <w:rsid w:val="00A604A4"/>
    <w:rsid w:val="00A874A5"/>
    <w:rsid w:val="00A90DCC"/>
    <w:rsid w:val="00AB1FBD"/>
    <w:rsid w:val="00AB4165"/>
    <w:rsid w:val="00AB463C"/>
    <w:rsid w:val="00AB6DF3"/>
    <w:rsid w:val="00AB7127"/>
    <w:rsid w:val="00AC0FDE"/>
    <w:rsid w:val="00AC5AD9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97352"/>
    <w:rsid w:val="00BC37A8"/>
    <w:rsid w:val="00BC4C2D"/>
    <w:rsid w:val="00BD077E"/>
    <w:rsid w:val="00C06425"/>
    <w:rsid w:val="00C2612D"/>
    <w:rsid w:val="00C4795E"/>
    <w:rsid w:val="00C5098D"/>
    <w:rsid w:val="00C536CB"/>
    <w:rsid w:val="00C53EE3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C7B48"/>
    <w:rsid w:val="00CE7084"/>
    <w:rsid w:val="00CF0DF6"/>
    <w:rsid w:val="00CF111B"/>
    <w:rsid w:val="00CF11C0"/>
    <w:rsid w:val="00D3116F"/>
    <w:rsid w:val="00D37B07"/>
    <w:rsid w:val="00D47524"/>
    <w:rsid w:val="00D51487"/>
    <w:rsid w:val="00D5612E"/>
    <w:rsid w:val="00D73CFA"/>
    <w:rsid w:val="00D81C88"/>
    <w:rsid w:val="00D82DB7"/>
    <w:rsid w:val="00D82F02"/>
    <w:rsid w:val="00D857DD"/>
    <w:rsid w:val="00D912B4"/>
    <w:rsid w:val="00D95903"/>
    <w:rsid w:val="00DB10C7"/>
    <w:rsid w:val="00DB39F9"/>
    <w:rsid w:val="00DC3AD8"/>
    <w:rsid w:val="00DC5004"/>
    <w:rsid w:val="00DD0BCA"/>
    <w:rsid w:val="00DD31DD"/>
    <w:rsid w:val="00DF79D2"/>
    <w:rsid w:val="00E0237D"/>
    <w:rsid w:val="00E14087"/>
    <w:rsid w:val="00E15445"/>
    <w:rsid w:val="00E235B5"/>
    <w:rsid w:val="00E319E9"/>
    <w:rsid w:val="00E31B5D"/>
    <w:rsid w:val="00E46AD3"/>
    <w:rsid w:val="00E64EFD"/>
    <w:rsid w:val="00EA199D"/>
    <w:rsid w:val="00EC060C"/>
    <w:rsid w:val="00ED40B1"/>
    <w:rsid w:val="00ED721A"/>
    <w:rsid w:val="00EF02EE"/>
    <w:rsid w:val="00F01010"/>
    <w:rsid w:val="00F01C61"/>
    <w:rsid w:val="00F20BBD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C76D1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7FE9-BBCC-41AF-B080-55F8F0D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2</cp:revision>
  <cp:lastPrinted>2020-08-12T14:52:00Z</cp:lastPrinted>
  <dcterms:created xsi:type="dcterms:W3CDTF">2020-08-13T13:11:00Z</dcterms:created>
  <dcterms:modified xsi:type="dcterms:W3CDTF">2020-08-13T13:11:00Z</dcterms:modified>
</cp:coreProperties>
</file>